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62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комитета по делам архивов Нижегородской области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комитете по делам архивов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Нижегородской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– комитет)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97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4961"/>
        <w:gridCol w:w="2835"/>
        <w:gridCol w:w="2693"/>
        <w:gridCol w:w="284"/>
        <w:gridCol w:w="4111"/>
      </w:tblGrid>
      <w:tr>
        <w:tblPrEx/>
        <w:trPr>
          <w:trHeight w:val="576"/>
        </w:trPr>
        <w:tc>
          <w:tcPr>
            <w:shd w:val="clear" w:color="auto" w:fill="auto"/>
            <w:tcW w:w="8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Ожидаемый результат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707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правового регулирования в сфере противодействия коррупции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9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пределах своей компетенции в подготовке и рассмотрении проектов нормативных правовых актов Нижегородской области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комитета, осуществляющие разработку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месяцев с момента внесения изменений в федерально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региональное законодательства в сфере противодействия коррупции (разработка).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 с момента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(рассмотрение)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управления по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правонарушений Нижегородской области (далее – управление)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нормативной базы Нижегородской области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9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проектов нормативных правовых актов Нижегородской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актов Губернатора и Правительства Нижегородской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разработчиком которых высту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пает комитет, при их разработке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комитета, осуществляющие разработку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нормативных правовых актов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 рабочих дней с момента разработки исполнителем проекта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Закона Нижегородской области от 07.03.2008 № 20-З «О противодействии коррупции в Нижегородской области», постановления Правительства Нижегородской области от 10.12.2009 № 913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проведения антикоррупционной экспертизы нормативных правовых актов Губернатора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Правительства Нижегородской области и их проектов»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9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проектов нормативных правовых актов Нижегородской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разработчиком которых выступает комитет, при их разработке (направление проектов приказов комитета в прокуратуру Нижегородской области)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комитета, осуществляющие разработку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нормативных правовых актов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 рабочих дней с момента разработки исполнителем проекта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выявляемых в нормативных правовых актах и их проектах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9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независимой антикоррупционной экспертизы и общественного обсуждения проектов нормативных правовых актов Нижегородской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разработчиком которых выступает комитет,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актов Губернатора и Правительства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комитета, осуществляющие разработку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 (техническое размещение проектов на сайте Правительства Нижегородской области)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 рабочих дней с момента разработки исполнителем проекта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Указа Губернатора Нижегородской области от 29.12.2016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официального сайта для размещения проектов нормативных правовых актов Нижегородской области в целях их общественного обсуждения и проведения независимой антикоррупционной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постановления Правительства Нижегородской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03.11.2017 № 784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размещения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Нижегородской области проектов нормативных правовых актов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их общественного обсуждения и проведения независимой антикоррупционной экспертизы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9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области, в том числе актов Губернатора и Правительства Нижегородской области, при мониторинге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законодательных и иных нормативных правовых актов Российской Федерации и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регламентирующих деятельность в сфере архивного дела (при условии включения комитета в план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соответствующий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Закона Нижегородской области от 07.03.2008 № 20-З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 в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постановления Правительства Нижегородской области от 10.12.2009 № 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проведения антикоррупционной экспертизы нормативных правовых актов Губернатора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Правительства Нижегородской области и их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707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соблюдение ограничений и запретов, требований о предотвращении или урегулировании конфликта интересов, а также исполнение обязанностей, установленных в целях противодействия коррупции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обязательного вводного инструктажа для граждан, поступивших на государственную гражданскую службу Нижегородской области (далее – государственная служба),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гражданскому служащему должны быть разъяснены основные ограничения, запреты и обязанности, установленные Федеральным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 декабря 2008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другими федеральными законами, налагаемые на него в целях противодействия коррупции, меры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3 рабочих дней со дня поступления на государственную гражданскую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Антикоррупционное просвещение.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pStyle w:val="699"/>
              <w:jc w:val="both"/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 xml:space="preserve">государственных </w:t>
            </w:r>
            <w:r>
              <w:rPr>
                <w:sz w:val="24"/>
                <w:szCs w:val="24"/>
              </w:rPr>
              <w:t xml:space="preserve">служащих </w:t>
            </w:r>
            <w:r>
              <w:rPr>
                <w:sz w:val="24"/>
                <w:szCs w:val="24"/>
              </w:rPr>
              <w:t xml:space="preserve">комитета</w:t>
            </w:r>
            <w:r>
              <w:rPr>
                <w:sz w:val="24"/>
                <w:szCs w:val="24"/>
              </w:rPr>
              <w:t xml:space="preserve">, впервые поступивших на государственную гражданскую службу Нижегородской области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(подготовка соответствующего запроса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 министерства кадровой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позднее 28 числа месяца, следующего за месяцем приема на государственную гражданскую службу Нижегородской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гражданских служащих, впервые поступивших на государственную гражданскую службу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условии организации министерством кадровой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тематике)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pStyle w:val="699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Участие </w:t>
            </w:r>
            <w:r>
              <w:rPr>
                <w:spacing w:val="-4"/>
                <w:sz w:val="24"/>
                <w:szCs w:val="24"/>
              </w:rPr>
              <w:t xml:space="preserve">государственных </w:t>
            </w:r>
            <w:r>
              <w:rPr>
                <w:spacing w:val="-4"/>
                <w:sz w:val="24"/>
                <w:szCs w:val="24"/>
              </w:rPr>
              <w:t xml:space="preserve">служащих </w:t>
            </w:r>
            <w:r>
              <w:rPr>
                <w:spacing w:val="-4"/>
                <w:sz w:val="24"/>
                <w:szCs w:val="24"/>
              </w:rPr>
              <w:t xml:space="preserve">комитета</w:t>
            </w:r>
            <w:r>
              <w:rPr>
                <w:spacing w:val="-4"/>
                <w:sz w:val="24"/>
                <w:szCs w:val="24"/>
              </w:rPr>
              <w:t xml:space="preserve">, в должност</w:t>
            </w:r>
            <w:r>
              <w:rPr>
                <w:sz w:val="24"/>
                <w:szCs w:val="24"/>
              </w:rPr>
              <w:t xml:space="preserve">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r>
              <w:rPr>
                <w:sz w:val="24"/>
                <w:szCs w:val="24"/>
              </w:rPr>
              <w:t xml:space="preserve">обучение</w:t>
            </w:r>
            <w:r>
              <w:rPr>
                <w:sz w:val="24"/>
                <w:szCs w:val="24"/>
              </w:rPr>
              <w:t xml:space="preserve"> по дополнительным профессиональным прог</w:t>
            </w:r>
            <w:r>
              <w:rPr>
                <w:spacing w:val="-6"/>
                <w:sz w:val="24"/>
                <w:szCs w:val="24"/>
              </w:rPr>
              <w:t xml:space="preserve">раммам в области противодействия коррупции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(подготовка соответствующего запроса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 министерства кадровой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 1 июня (на основании запроса министерства кадровой политики Правительства Нижегородской области)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гражданского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условии организации министерством кадровой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лиц, замещающих должности гражданской службы, руководителей и работников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чреждений  Нижегородской области, созданных для выполнения задач, поставленных перед государственными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материалов, памяток, алгоритмов по соответствующей тематике, разрабатываемых и (или) перенаправляемых управлением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казенных учреждений Нижегородской области, подведомственных комитету (далее – подведомственные учреждения)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 рабочих дней с момента поступления материалов в комитет (через СЭДО)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Антикоррупционное просвещение.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своей компетенции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по профилактике коррупционных правонарушений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графиком приема сведений о доходах и расходах)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норм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своей компетенции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в проверке достоверности персональных данных и иных сведений,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(сведения в рамках расширенного анкетирования)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30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норм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поручения Губернатора Нижегородской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января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Сл-001-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38655/25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своей компетенции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по профилактике коррупционных правонарушений Нижегородской области 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верке соблюдения руководителями и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учреждений Нижегородской области ограничений, установленных законодательством Российской Федерации и законо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дательством Нижегородской области, а также достоверности и полноты сведений, представляемых лицами, претендующими на должности руководителей государственных учреждений Нижегородской области, и руководителями государственных учреждений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(сведения в рамках расширенного анкетирования)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жегодно,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норм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поручения Губернатора Нижегородской области от 17 января 2025 г. № Сл-001-38655/25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«е», «ж»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запрета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служебной деятельностью подчиненных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и рассмотрения уведомлений о фактах обращения в целях склонения гражданского служащего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управление по профилактике коррупционных правонарушений Нижегородской области уведомлений для регистрации и проведения проверки (в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принятия соответствующего решения представителя нанимателя)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поступления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дней с момента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являющейся основанием для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правонарушений», утвержденный приказом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26.05.2020 № 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и рассмотрения уведомлений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уведомлений для регистрации и проведения проверки (в случае принятия соответствующего решения представителя нанимателя)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одного рабочего дня, следующего за днем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уведомления начальнику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антикоррупционного законодательства,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сообщения государственными гражданскими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утвержденное приказом комитета от 20.06.2022 № 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учета и анализа обращений граждан и юридических лиц о фактах коррупции и иных неправомерных действиях гражданских служащих исполнительного органа, поступающих посредством: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личного приёма руководителем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комитета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заместителем руководителя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комитета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письменных обращений;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Интернет-приёмной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«горячей линии»;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иными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способами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Е.Ф.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Лапина О.В.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Курчакова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Дюбюк М.В.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позднее одного рабочего дня, следующего за днем поступления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приказ комитета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05.10.2023 № 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назначении исполнителя, ответственного за работу с обращениями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оступающими через социальные сети информационно-телекоммуникационной сети «Интернет»,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комитета от 20.05.2021 № 46 «О работе в комитете по делам архивов Нижегородской области «горячей линии»»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и рассмотрения уведомлений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намерении выполнять иную оплачиваемую работу до начала ее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для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ознакомления с ним руководителя комитета (исполняющего обязанности руководителя комитета)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антикоррупционного законодательства, статьи 17 и 18 Федерального закона от 27 июля 2004 г. № 79-ФЗ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гражданской службе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уведомления представителя нанимателя о намерении выполнять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оплачиваемую работу (о выполнении иной оплачиваемой работы) государственными гражданскими служащими Нижегородской области, утвержденный приказом управления по профилактике коррупционных правонарушений Нижегородской области от 30 октября 2023 г. № 36-од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систематической работы по оценке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функций. Определение по результатам оценки коррупционных рисков функций, при выполнении которых наиболее вероятно возникновение коррупционных правонарушений. Утверждение, актуализация перечня должностей, замещение которых связано с коррупционными рисками.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ктуализация карты коррупционных рисков,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возникающих при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-опасных функций // Выработка и реализация мер по минимизации и (или) устранению коррупционных рисков в конкретных управленческих процессах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(совместно с управлением)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завершения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организационно-штатных мероприятий в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условии структурных изменений либо перераспределени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(устранение) коррупционных рисков,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перечни должностей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высокими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комиссии по координации работы по противодействию коррупции в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29.03.2023 № Сл-001-417813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707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механизма реализации мер, направленных на противодействие коррупции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прозрачности в сфере предотвращения коррупции при размещении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заказов по закупкам и поставкам продукции для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осуществляется в соответствии с требованиями Федерального закона от 05.04.2013 №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Федеральный закон)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Гареева Т.О.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pStyle w:val="698"/>
              <w:ind w:left="37" w:right="141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Ежегодно, до 27 декабря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pStyle w:val="698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и предупреждение случаев конфликта интересов в сфере </w:t>
            </w:r>
            <w:r>
              <w:rPr>
                <w:color w:val="000000"/>
              </w:rPr>
              <w:t xml:space="preserve">реализации Федерального закона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</w:p>
          <w:p>
            <w:pPr>
              <w:pStyle w:val="698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  <w:t xml:space="preserve">.04.</w:t>
            </w:r>
            <w:r>
              <w:rPr>
                <w:color w:val="000000"/>
              </w:rPr>
              <w:t xml:space="preserve">2013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№ 44-ФЗ </w:t>
            </w:r>
            <w:r>
              <w:rPr>
                <w:color w:val="000000"/>
              </w:rPr>
              <w:t xml:space="preserve">«</w:t>
            </w:r>
            <w:r>
              <w:rPr>
                <w:color w:val="000000"/>
              </w:rPr>
              <w:t xml:space="preserve">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информации об участниках государственных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(конкурентные процедуры)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установления их аффилированных связей с конкретными государственными служащими, в том числе членами комиссий по осуществлению закупок, и направление информации о результатах проведенной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по профилактике коррупционных правонарушений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 осуществления закупочной деятельности конкурентными способами)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Гареева Т.О.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ind w:left="37" w:right="141"/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срок до 5 числа месяца, следующего за отчетным кварталом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исключения (минимизации) коррупционных рисков при реализации Федерального закона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44-ФЗ «О контрактной системе 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исключению случаев, приводящих к конфликту интересов, при назначен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работников контрактных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(контрактных управляющих)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создании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миссий по осуществлению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27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исключения (минимизации)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сведений.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Поступающих от подведомственных учреждений, и направление информации о закупках, осуществляемых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и подведомственными 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с пунктами 4 и 5 части 1 статьи 93 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жеквартально, до 30 числа месяца, следующего за отчетным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норм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поручения Губернатора Нижегородской области от 17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г. № Сл-001-38655/25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707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направленные на противодействие коррупции с учетом специфики его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исключению случаев, приводящих к конфликту интересов, при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существлении комитетом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контрольно-надзорной деятельности в соответствии с постановлением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Нижегородской области от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региональном государственном контроле (надзоре) за соблюдением законодательства об архивном 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Мацуева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предупреждение случаев конфликта интересов в сфере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Нижегородской области от 21.09.2021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834 «О региональном государственном контроле (надзоре) за соблюдением законодательства об архивном деле»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исключению случаев, приводящих к конфликту интересов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обращениями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Глазырина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предупреждение случаев конфликта интересов в сфере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рассмотрения обращений граждан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707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мер по противодействию коррупции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государственных казенных учреждениях Нижегородской области, подведомственных комитету (далее – подведомственные учреждения)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ind w:left="-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специфики деятельности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планов работы по противодействию коррупции и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такими планами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31 января (разработка)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31 декабря (обеспечение контроля)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ind w:left="-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лицами, замещающими должности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полных и достоверных сведений о 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по профилактике коррупционных правонарушений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графиком приема сведений о доходах и расходах)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методических рекомендаций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России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ведомственного контроля в сфере закупок товаров, работ, услуг для обеспечения государственных нужд Нижегородской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постановлением Правительства Нижегородской области от 5 марта 2014 года № 142 «Об утверждении Порядка осуществления ведомственного контроля в сфере закупок товаров, работ, услуг для обеспечения государственных нужд Нижегородской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Гареева Т.О.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 № 142 «Об утверждении Порядка осуществления ведомственного контроля в сфере закупок товаров, работ, услуг для обеспечения государственных нужд Нижегородской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исключению случаев, приводящих к конфликту интересов, при осуществлении комитетом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ведомственного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Гареева Т.О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предупреждение случаев конфликта интересов в сфере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22.12.2015 № 198-З «О порядке и условиях осуществления ведомственного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трудового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иных нормативных правовых актов, содержащих нормы трудового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исключению случаев, приводящих к конфликту интересов при осуществлении комитетом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деятельностью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Гареева Т.О.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предупреждение случаев конфликта интересов в сфере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Правительства Нижегородской области от 29.11.2010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845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автономных, бюджетных и казенных учреждений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(уведомления)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директора подведомственного учреждения к совершению коррупционного правонарушения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управление по профилактике коррупционных правонарушений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одного рабочего дня, следующего за днем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от 26.01.2022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 о фактах обращения в целях склонения руководителя государственного казенного учреждения к совершению коррупционных правонарушений»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(уведомления)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случаях выявления признаков личной заинтересованности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нарушения, содержание принятого решения, меры ответственности или иные меры воздействия в отношении лица, допустившего нарушения) в управление по  профилактике коррупционных правонарушений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одного рабочего дня, следующего за днем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руководителем комитета соответствующего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антикоррупционного законодательства,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от 26.01.2022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порядке сообщения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возникновении личной заинтересованности при исполнении 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информации о деятельности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в том числе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нформационно-телекоммуникационной сети «Интернет» (далее – официальный сайт комитета)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подведомственных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Г.А.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Топоркова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707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совершенствованию взаимодействия с институтами гражданского общества, гражданами и обеспечение доступности информации о деятельности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«Обратная связь для сообщений о фактах коррупции»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взаимодействия с гражданами и организациями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Топоркова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pStyle w:val="70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своевременности и полноты 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информации о деятельности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нормативных правовых актов Российской Федерации и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Топоркова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до 31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комитета в соответствии с действующим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707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Организационные мероприятия по противодействию коррупции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по профилактике коррупционных правонарушений Нижегородской области информации, касающейся событий, признаков и фактов коррупционных правонарушений, 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верках и процессуальных действиях, проводимых правоохранительными органами по указанным фактам,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подведомственных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подобных случаев)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рабочего дня со дня, когда стало известно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данном факте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профилактике коррупционных правонарушений Нижегородской области при поступлении уведомлений о приеме на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оту бывших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Дюбюк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рабочего дня со дня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23" w:type="dxa"/>
            <w:textDirection w:val="lrTb"/>
            <w:noWrap w:val="false"/>
          </w:tcPr>
          <w:p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Размещение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зданиях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помещениях, занимаемых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комитетом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подведомственны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 учреждениями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информационных стендов,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 и работников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учреждений, регулярная акту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ализация размещенной информации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Директора подведомственных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учреждений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Дюбюк М.В.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Ежегодно, до 31 декабря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(обновление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– не позднее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 дней с момента внесения изменений в документы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в сфере противодействия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568" w:right="1134" w:bottom="709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22479187"/>
      <w:docPartObj>
        <w:docPartGallery w:val="Page Numbers (Top of Page)"/>
        <w:docPartUnique w:val="true"/>
      </w:docPartObj>
      <w:rPr/>
    </w:sdtPr>
    <w:sdtContent>
      <w:p>
        <w:pPr>
          <w:pStyle w:val="70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13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6.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7.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3"/>
    <w:next w:val="69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4"/>
    <w:link w:val="34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1"/>
    <w:uiPriority w:val="99"/>
  </w:style>
  <w:style w:type="character" w:styleId="45">
    <w:name w:val="Footer Char"/>
    <w:basedOn w:val="694"/>
    <w:link w:val="703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table" w:styleId="697">
    <w:name w:val="Table Grid"/>
    <w:basedOn w:val="69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 w:customStyle="1">
    <w:name w:val="pboth"/>
    <w:basedOn w:val="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9" w:customStyle="1">
    <w:name w:val="ConsPlusNormal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700">
    <w:name w:val="List Paragraph"/>
    <w:basedOn w:val="693"/>
    <w:uiPriority w:val="34"/>
    <w:qFormat/>
    <w:pPr>
      <w:contextualSpacing/>
      <w:ind w:left="720"/>
    </w:pPr>
  </w:style>
  <w:style w:type="paragraph" w:styleId="701">
    <w:name w:val="Header"/>
    <w:basedOn w:val="693"/>
    <w:link w:val="7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2" w:customStyle="1">
    <w:name w:val="Верхний колонтитул Знак"/>
    <w:basedOn w:val="694"/>
    <w:link w:val="701"/>
    <w:uiPriority w:val="99"/>
  </w:style>
  <w:style w:type="paragraph" w:styleId="703">
    <w:name w:val="Footer"/>
    <w:basedOn w:val="693"/>
    <w:link w:val="7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4" w:customStyle="1">
    <w:name w:val="Нижний колонтитул Знак"/>
    <w:basedOn w:val="694"/>
    <w:link w:val="703"/>
    <w:uiPriority w:val="99"/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4599-6540-490A-9C70-99AEF4CB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Нахаева</dc:creator>
  <cp:lastModifiedBy>toporkova</cp:lastModifiedBy>
  <cp:revision>3</cp:revision>
  <dcterms:created xsi:type="dcterms:W3CDTF">2025-02-27T05:33:00Z</dcterms:created>
  <dcterms:modified xsi:type="dcterms:W3CDTF">2026-05-07T08:51:30Z</dcterms:modified>
</cp:coreProperties>
</file>